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JhengHei" w:hAnsi="Microsoft JhengHei" w:eastAsia="Microsoft JhengHei"/>
          <w:b/>
          <w:sz w:val="32"/>
        </w:rPr>
        <w:t>公職人員利益衝突迴避法近期三函釋重點整合表</w:t>
      </w:r>
    </w:p>
    <w:p>
      <w:pPr>
        <w:jc w:val="center"/>
      </w:pPr>
      <w:r>
        <w:rPr>
          <w:rFonts w:ascii="Microsoft JhengHei" w:hAnsi="Microsoft JhengHei" w:eastAsia="Microsoft JhengHei"/>
          <w:b/>
          <w:sz w:val="23"/>
        </w:rPr>
        <w:t>補助例外 × 法定身分補助 × 宮廟關係人認定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3096"/>
        <w:gridCol w:w="3096"/>
      </w:tblGrid>
      <w:tr>
        <w:tc>
          <w:tcPr>
            <w:tcW w:type="dxa" w:w="3096"/>
            <w:vAlign w:val="center"/>
            <w:shd w:fill="D9EAF7"/>
          </w:tcPr>
          <w:p>
            <w:pPr>
              <w:jc w:val="center"/>
            </w:pPr>
            <w:r>
              <w:rPr>
                <w:rFonts w:ascii="Microsoft JhengHei" w:hAnsi="Microsoft JhengHei" w:eastAsia="Microsoft JhengHei"/>
                <w:b/>
                <w:sz w:val="19"/>
              </w:rPr>
              <w:t>函釋／主題</w:t>
            </w:r>
          </w:p>
        </w:tc>
        <w:tc>
          <w:tcPr>
            <w:tcW w:type="dxa" w:w="3096"/>
            <w:vAlign w:val="center"/>
            <w:shd w:fill="D9EAF7"/>
          </w:tcPr>
          <w:p>
            <w:pPr>
              <w:jc w:val="center"/>
            </w:pPr>
            <w:r>
              <w:rPr>
                <w:rFonts w:ascii="Microsoft JhengHei" w:hAnsi="Microsoft JhengHei" w:eastAsia="Microsoft JhengHei"/>
                <w:b/>
                <w:sz w:val="19"/>
              </w:rPr>
              <w:t>核心爭點</w:t>
            </w:r>
          </w:p>
        </w:tc>
        <w:tc>
          <w:tcPr>
            <w:tcW w:type="dxa" w:w="3096"/>
            <w:vAlign w:val="center"/>
            <w:shd w:fill="D9EAF7"/>
          </w:tcPr>
          <w:p>
            <w:pPr>
              <w:jc w:val="center"/>
            </w:pPr>
            <w:r>
              <w:rPr>
                <w:rFonts w:ascii="Microsoft JhengHei" w:hAnsi="Microsoft JhengHei" w:eastAsia="Microsoft JhengHei"/>
                <w:b/>
                <w:sz w:val="19"/>
              </w:rPr>
              <w:t>函釋要旨</w:t>
            </w:r>
          </w:p>
        </w:tc>
        <w:tc>
          <w:tcPr>
            <w:tcW w:type="dxa" w:w="3096"/>
            <w:vAlign w:val="center"/>
            <w:shd w:fill="D9EAF7"/>
          </w:tcPr>
          <w:p>
            <w:pPr>
              <w:jc w:val="center"/>
            </w:pPr>
            <w:r>
              <w:rPr>
                <w:rFonts w:ascii="Microsoft JhengHei" w:hAnsi="Microsoft JhengHei" w:eastAsia="Microsoft JhengHei"/>
                <w:b/>
                <w:sz w:val="19"/>
              </w:rPr>
              <w:t>判斷關鍵</w:t>
            </w:r>
          </w:p>
        </w:tc>
        <w:tc>
          <w:tcPr>
            <w:tcW w:type="dxa" w:w="3096"/>
            <w:vAlign w:val="center"/>
            <w:shd w:fill="D9EAF7"/>
          </w:tcPr>
          <w:p>
            <w:pPr>
              <w:jc w:val="center"/>
            </w:pPr>
            <w:r>
              <w:rPr>
                <w:rFonts w:ascii="Microsoft JhengHei" w:hAnsi="Microsoft JhengHei" w:eastAsia="Microsoft JhengHei"/>
                <w:b/>
                <w:sz w:val="19"/>
              </w:rPr>
              <w:t>社會局實務提醒</w:t>
            </w:r>
          </w:p>
        </w:tc>
      </w:tr>
      <w:tr>
        <w:tc>
          <w:tcPr>
            <w:tcW w:type="dxa" w:w="3096"/>
            <w:vAlign w:val="center"/>
            <w:shd w:fill="EAF2F8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/>
                <w:sz w:val="17"/>
              </w:rPr>
              <w:t>一、補助三類例外之適用</w:t>
              <w:br/>
              <w:t>法務部114.10.14</w:t>
              <w:br/>
              <w:t>法廉字第11405003790號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利衝法第14條第1項但書第3款三種補助例外如何區分？「公共利益例外」可否廣泛使用？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三種例外應分別判斷，無適用先後：①基於法定身分依法令申請；②關係人依法令以公開公平方式辦理；③禁止補助反不利公共利益且經主管機關核定同意。第③類屬極端例外，不得反覆援用或事後用來規避已發生之違法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法定身分：形式審查、無實質裁量。</w:t>
              <w:br/>
              <w:t>公開公平：受理前公開項目、期間、資格、審查方式、金額上限及預算等。</w:t>
              <w:br/>
              <w:t>公共利益：須有具體必要性、合理性，並具體敘明理由及依法監督。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辦理社福、團體補助時，不可僅因活動具有公益性，就直接套用「公共利益例外」；應先辨識補助類型並確認完整法定要件。</w:t>
            </w:r>
          </w:p>
        </w:tc>
      </w:tr>
      <w:tr>
        <w:tc>
          <w:tcPr>
            <w:tcW w:type="dxa" w:w="3096"/>
            <w:vAlign w:val="center"/>
            <w:shd w:fill="EEF6EA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/>
                <w:sz w:val="17"/>
              </w:rPr>
              <w:t>二、「法定身分補助」之界線</w:t>
              <w:br/>
              <w:t>法務部114.12.1</w:t>
              <w:br/>
              <w:t>法廉字第11405004480號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法規明定某團體可受政府補助，或年度預算已編列補助，是否即屬「基於法定身分依法令規定申請之補助」？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不當然屬之。「法定身分」須具有不特定人均可適用之普遍性、持續性；且符合資格後，機關僅能形式審查，對是否補助及金額多寡無實質裁量。若仍須審查計畫、經費、效益或績效，即難認屬法定身分補助。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關鍵不是「有沒有法規／預算依據」，而是機關有無實質裁量：</w:t>
              <w:br/>
              <w:t>符合資格即依法發給 → 較可能符合。</w:t>
              <w:br/>
              <w:t>仍須評估計畫、效益、額度 → 原則上不符合。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社福團體、人民團體或特定機構縱依法可接受補助，或預算已有編列，只要仍須實質審查，即不宜逕以法定身分補助排除第14條限制，應再檢視公開公平等例外。</w:t>
            </w:r>
          </w:p>
        </w:tc>
      </w:tr>
      <w:tr>
        <w:tc>
          <w:tcPr>
            <w:tcW w:type="dxa" w:w="3096"/>
            <w:vAlign w:val="center"/>
            <w:shd w:fill="FFF3E0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/>
                <w:sz w:val="17"/>
              </w:rPr>
              <w:t>三、宮廟及「總爐主」關係人認定</w:t>
              <w:br/>
              <w:t>法務部115.4.13</w:t>
              <w:br/>
              <w:t>法廉字第11505001490號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地方首長擔任宮廟「總爐主」，該宮廟是否屬利衝法第3條第1項第4款所定關係人？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宮廟縱未登記立案具法人格，仍可能屬「非法人團體」。地方首長如擔任主任委員、宮主等與負責人具類似地位之職務，該宮廟屬其關係人；至「總爐主」是否屬相類似職務，不能僅依名稱判斷，應依個案職務內容認定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檢視宮廟之組織編制、管理章程及實際職務內容，判斷總爐主是否具有與負責人、董事、監察人、經理人等相類似之地位。</w:t>
            </w:r>
          </w:p>
        </w:tc>
        <w:tc>
          <w:tcPr>
            <w:tcW w:type="dxa" w:w="3096"/>
            <w:vAlign w:val="center"/>
          </w:tcPr>
          <w:p>
            <w:pPr>
              <w:spacing w:after="30"/>
            </w:pPr>
            <w:r>
              <w:rPr>
                <w:rFonts w:ascii="Microsoft JhengHei" w:hAnsi="Microsoft JhengHei" w:eastAsia="Microsoft JhengHei"/>
                <w:b w:val="0"/>
                <w:sz w:val="17"/>
              </w:rPr>
              <w:t>辦理涉及宮廟、宗教團體之補助或交易時，應主動辨識公職人員與團體間的實質職務關係；即使宮廟未具法人格、職稱僅稱「總爐主」，仍不可直接排除利衝法適用。</w:t>
            </w:r>
          </w:p>
        </w:tc>
      </w:tr>
    </w:tbl>
    <w:p/>
    <w:p>
      <w:r>
        <w:rPr>
          <w:rFonts w:ascii="Microsoft JhengHei" w:hAnsi="Microsoft JhengHei" w:eastAsia="Microsoft JhengHei"/>
          <w:b/>
          <w:sz w:val="21"/>
        </w:rPr>
        <w:t>三函釋串聯重點：</w:t>
      </w:r>
      <w:r>
        <w:rPr>
          <w:rFonts w:ascii="Microsoft JhengHei" w:hAnsi="Microsoft JhengHei" w:eastAsia="Microsoft JhengHei"/>
          <w:b w:val="0"/>
          <w:sz w:val="21"/>
        </w:rPr>
        <w:t>先辨識「誰是關係人」→ 再判斷「補助是否原則禁止」→ 最後檢視「是否符合三種法定例外」。其中，法定身分補助與公共利益例外均應從其實質要件判斷，不得僅以法規有補助文字、預算已有編列、團體具有公益性或職稱名稱作形式認定。</w:t>
      </w:r>
    </w:p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