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BCF" w:rsidRDefault="006F16E6">
      <w:pPr>
        <w:spacing w:line="38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2E2BCF" w:rsidRDefault="006F16E6">
      <w:pPr>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2E2BCF" w:rsidRDefault="006F16E6">
      <w:pPr>
        <w:spacing w:line="380" w:lineRule="exact"/>
        <w:ind w:left="1" w:right="-1044" w:hanging="992"/>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B.</w:t>
      </w:r>
      <w:r>
        <w:rPr>
          <w:rFonts w:ascii="標楷體" w:eastAsia="標楷體" w:hAnsi="標楷體"/>
          <w:b/>
          <w:sz w:val="28"/>
          <w:szCs w:val="28"/>
        </w:rPr>
        <w:t>事後公開】：本表由機關團體填寫</w:t>
      </w:r>
    </w:p>
    <w:p w:rsidR="002E2BCF" w:rsidRDefault="006F16E6">
      <w:pPr>
        <w:spacing w:line="280" w:lineRule="exact"/>
        <w:ind w:left="-141" w:right="-1044" w:hanging="850"/>
        <w:jc w:val="center"/>
      </w:pPr>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r>
        <w:rPr>
          <w:rFonts w:ascii="標楷體" w:eastAsia="標楷體" w:hAnsi="標楷體" w:cs="細明體"/>
          <w:color w:val="000000"/>
          <w:szCs w:val="24"/>
        </w:rPr>
        <w:t>）</w:t>
      </w:r>
    </w:p>
    <w:p w:rsidR="002E2BCF" w:rsidRDefault="006F16E6">
      <w:pPr>
        <w:spacing w:before="180" w:line="280" w:lineRule="exact"/>
        <w:ind w:left="1" w:right="-1044" w:hanging="992"/>
        <w:rPr>
          <w:rFonts w:ascii="標楷體" w:eastAsia="標楷體" w:hAnsi="標楷體"/>
          <w:b/>
          <w:sz w:val="28"/>
          <w:szCs w:val="28"/>
        </w:rPr>
      </w:pPr>
      <w:r>
        <w:rPr>
          <w:rFonts w:ascii="標楷體" w:eastAsia="標楷體" w:hAnsi="標楷體"/>
          <w:b/>
          <w:sz w:val="28"/>
          <w:szCs w:val="28"/>
        </w:rPr>
        <w:t>機關團體應主動公開事項：</w:t>
      </w:r>
    </w:p>
    <w:p w:rsidR="002E2BCF" w:rsidRDefault="006F16E6">
      <w:pPr>
        <w:spacing w:line="260" w:lineRule="exact"/>
        <w:ind w:left="-428" w:right="-1044" w:hanging="563"/>
        <w:rPr>
          <w:rFonts w:ascii="標楷體" w:eastAsia="標楷體" w:hAnsi="標楷體"/>
          <w:sz w:val="28"/>
          <w:szCs w:val="28"/>
        </w:rPr>
      </w:pPr>
      <w:r>
        <w:rPr>
          <w:rFonts w:ascii="標楷體" w:eastAsia="標楷體" w:hAnsi="標楷體"/>
          <w:sz w:val="28"/>
          <w:szCs w:val="28"/>
        </w:rPr>
        <w:t>一、請將本交易或補助案之公職人員利益衝突迴避法第</w:t>
      </w:r>
      <w:r>
        <w:rPr>
          <w:rFonts w:ascii="標楷體" w:eastAsia="標楷體" w:hAnsi="標楷體"/>
          <w:sz w:val="28"/>
          <w:szCs w:val="28"/>
        </w:rPr>
        <w:t>14</w:t>
      </w:r>
      <w:r>
        <w:rPr>
          <w:rFonts w:ascii="標楷體" w:eastAsia="標楷體" w:hAnsi="標楷體"/>
          <w:sz w:val="28"/>
          <w:szCs w:val="28"/>
        </w:rPr>
        <w:t>條第</w:t>
      </w:r>
      <w:r>
        <w:rPr>
          <w:rFonts w:ascii="標楷體" w:eastAsia="標楷體" w:hAnsi="標楷體"/>
          <w:sz w:val="28"/>
          <w:szCs w:val="28"/>
        </w:rPr>
        <w:t>2</w:t>
      </w:r>
      <w:r>
        <w:rPr>
          <w:rFonts w:ascii="標楷體" w:eastAsia="標楷體" w:hAnsi="標楷體"/>
          <w:sz w:val="28"/>
          <w:szCs w:val="28"/>
        </w:rPr>
        <w:t>項公職人員及關係人身分關係揭露表範本【</w:t>
      </w:r>
      <w:r>
        <w:rPr>
          <w:rFonts w:ascii="標楷體" w:eastAsia="標楷體" w:hAnsi="標楷體"/>
          <w:sz w:val="28"/>
          <w:szCs w:val="28"/>
        </w:rPr>
        <w:t>A.</w:t>
      </w:r>
      <w:r>
        <w:rPr>
          <w:rFonts w:ascii="標楷體" w:eastAsia="標楷體" w:hAnsi="標楷體"/>
          <w:sz w:val="28"/>
          <w:szCs w:val="28"/>
        </w:rPr>
        <w:t>事前揭露】一併公開</w:t>
      </w:r>
    </w:p>
    <w:p w:rsidR="002E2BCF" w:rsidRDefault="002E2BCF">
      <w:pPr>
        <w:spacing w:line="260" w:lineRule="exact"/>
        <w:ind w:left="398" w:right="-1044" w:hanging="1389"/>
        <w:rPr>
          <w:rFonts w:ascii="標楷體" w:eastAsia="標楷體" w:hAnsi="標楷體"/>
          <w:sz w:val="28"/>
          <w:szCs w:val="28"/>
        </w:rPr>
      </w:pPr>
    </w:p>
    <w:p w:rsidR="002E2BCF" w:rsidRDefault="006F16E6">
      <w:pPr>
        <w:spacing w:line="260" w:lineRule="exact"/>
        <w:ind w:left="398" w:right="-1044" w:hanging="1389"/>
        <w:rPr>
          <w:rFonts w:ascii="標楷體" w:eastAsia="標楷體" w:hAnsi="標楷體"/>
          <w:sz w:val="28"/>
          <w:szCs w:val="28"/>
        </w:rPr>
      </w:pPr>
      <w:r>
        <w:rPr>
          <w:rFonts w:ascii="標楷體" w:eastAsia="標楷體" w:hAnsi="標楷體"/>
          <w:sz w:val="28"/>
          <w:szCs w:val="28"/>
        </w:rPr>
        <w:t>二、交易行為表</w:t>
      </w:r>
    </w:p>
    <w:tbl>
      <w:tblPr>
        <w:tblW w:w="10632" w:type="dxa"/>
        <w:tblInd w:w="-885" w:type="dxa"/>
        <w:tblCellMar>
          <w:left w:w="10" w:type="dxa"/>
          <w:right w:w="10" w:type="dxa"/>
        </w:tblCellMar>
        <w:tblLook w:val="0000" w:firstRow="0" w:lastRow="0" w:firstColumn="0" w:lastColumn="0" w:noHBand="0" w:noVBand="0"/>
      </w:tblPr>
      <w:tblGrid>
        <w:gridCol w:w="2694"/>
        <w:gridCol w:w="3690"/>
        <w:gridCol w:w="720"/>
        <w:gridCol w:w="3528"/>
      </w:tblGrid>
      <w:tr w:rsidR="002E2BCF">
        <w:tblPrEx>
          <w:tblCellMar>
            <w:top w:w="0" w:type="dxa"/>
            <w:bottom w:w="0" w:type="dxa"/>
          </w:tblCellMar>
        </w:tblPrEx>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CF" w:rsidRDefault="006F16E6">
            <w:pPr>
              <w:spacing w:line="400" w:lineRule="exact"/>
              <w:ind w:right="-900"/>
              <w:jc w:val="cente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項之交易行為</w:t>
            </w:r>
          </w:p>
        </w:tc>
      </w:tr>
      <w:tr w:rsidR="002E2BC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6F16E6">
            <w:pPr>
              <w:spacing w:line="340" w:lineRule="exact"/>
              <w:rPr>
                <w:rFonts w:ascii="標楷體" w:eastAsia="標楷體" w:hAnsi="標楷體"/>
                <w:b/>
                <w:szCs w:val="24"/>
              </w:rPr>
            </w:pPr>
            <w:r>
              <w:rPr>
                <w:rFonts w:ascii="標楷體" w:eastAsia="標楷體" w:hAnsi="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2E2BCF">
            <w:pPr>
              <w:spacing w:line="340" w:lineRule="exact"/>
              <w:ind w:right="-900"/>
              <w:jc w:val="both"/>
              <w:rPr>
                <w:rFonts w:ascii="標楷體" w:eastAsia="標楷體" w:hAnsi="標楷體"/>
                <w:b/>
                <w:sz w:val="32"/>
                <w:szCs w:val="32"/>
              </w:rPr>
            </w:pPr>
          </w:p>
        </w:tc>
      </w:tr>
      <w:tr w:rsidR="002E2BC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6F16E6">
            <w:pPr>
              <w:spacing w:line="340" w:lineRule="exact"/>
            </w:pPr>
            <w:r>
              <w:rPr>
                <w:rFonts w:ascii="標楷體" w:eastAsia="標楷體" w:hAnsi="標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2E2BCF">
            <w:pPr>
              <w:spacing w:line="340" w:lineRule="exact"/>
              <w:ind w:right="-900"/>
              <w:jc w:val="both"/>
              <w:rPr>
                <w:rFonts w:ascii="標楷體" w:eastAsia="標楷體" w:hAnsi="標楷體"/>
                <w:b/>
                <w:sz w:val="32"/>
                <w:szCs w:val="3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6F16E6">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6F16E6">
            <w:pPr>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2E2BC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6F16E6">
            <w:pPr>
              <w:spacing w:line="340" w:lineRule="exact"/>
            </w:pPr>
            <w:r>
              <w:rPr>
                <w:rFonts w:ascii="標楷體" w:eastAsia="標楷體" w:hAnsi="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2E2BCF">
            <w:pPr>
              <w:spacing w:line="340" w:lineRule="exact"/>
              <w:ind w:right="-900"/>
              <w:jc w:val="both"/>
              <w:rPr>
                <w:rFonts w:ascii="標楷體" w:eastAsia="標楷體" w:hAnsi="標楷體"/>
                <w:b/>
                <w:sz w:val="32"/>
                <w:szCs w:val="32"/>
              </w:rPr>
            </w:pPr>
          </w:p>
        </w:tc>
      </w:tr>
      <w:tr w:rsidR="002E2BC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6F16E6">
            <w:pPr>
              <w:spacing w:line="340" w:lineRule="exact"/>
              <w:rPr>
                <w:rFonts w:ascii="標楷體" w:eastAsia="標楷體" w:hAnsi="標楷體"/>
                <w:b/>
                <w:szCs w:val="24"/>
              </w:rPr>
            </w:pPr>
            <w:r>
              <w:rPr>
                <w:rFonts w:ascii="標楷體" w:eastAsia="標楷體" w:hAnsi="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2E2BCF">
            <w:pPr>
              <w:spacing w:line="340" w:lineRule="exact"/>
              <w:ind w:right="-900"/>
              <w:jc w:val="both"/>
              <w:rPr>
                <w:rFonts w:ascii="標楷體" w:eastAsia="標楷體" w:hAnsi="標楷體"/>
                <w:b/>
                <w:sz w:val="32"/>
                <w:szCs w:val="32"/>
              </w:rPr>
            </w:pPr>
          </w:p>
        </w:tc>
      </w:tr>
      <w:tr w:rsidR="002E2BCF">
        <w:tblPrEx>
          <w:tblCellMar>
            <w:top w:w="0" w:type="dxa"/>
            <w:bottom w:w="0" w:type="dxa"/>
          </w:tblCellMar>
        </w:tblPrEx>
        <w:trPr>
          <w:trHeight w:val="39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6F16E6">
            <w:pPr>
              <w:spacing w:line="340" w:lineRule="exact"/>
              <w:rPr>
                <w:rFonts w:ascii="標楷體" w:eastAsia="標楷體" w:hAnsi="標楷體"/>
                <w:b/>
                <w:szCs w:val="24"/>
              </w:rPr>
            </w:pPr>
            <w:r>
              <w:rPr>
                <w:rFonts w:ascii="標楷體" w:eastAsia="標楷體" w:hAnsi="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2E2BCF">
            <w:pPr>
              <w:spacing w:line="340" w:lineRule="exact"/>
              <w:ind w:right="-900"/>
              <w:jc w:val="both"/>
              <w:rPr>
                <w:rFonts w:ascii="標楷體" w:eastAsia="標楷體" w:hAnsi="標楷體"/>
                <w:b/>
                <w:sz w:val="32"/>
                <w:szCs w:val="32"/>
              </w:rPr>
            </w:pPr>
          </w:p>
        </w:tc>
      </w:tr>
      <w:tr w:rsidR="002E2BCF">
        <w:tblPrEx>
          <w:tblCellMar>
            <w:top w:w="0" w:type="dxa"/>
            <w:bottom w:w="0" w:type="dxa"/>
          </w:tblCellMar>
        </w:tblPrEx>
        <w:trPr>
          <w:trHeight w:val="89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6F16E6">
            <w:pPr>
              <w:spacing w:line="300" w:lineRule="exact"/>
              <w:rPr>
                <w:rFonts w:ascii="標楷體" w:eastAsia="標楷體" w:hAnsi="標楷體"/>
                <w:b/>
                <w:szCs w:val="24"/>
              </w:rPr>
            </w:pPr>
            <w:r>
              <w:rPr>
                <w:rFonts w:ascii="標楷體" w:eastAsia="標楷體" w:hAnsi="標楷體"/>
                <w:b/>
                <w:szCs w:val="24"/>
              </w:rPr>
              <w:t>交易屬第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1</w:t>
            </w:r>
            <w:r>
              <w:rPr>
                <w:rFonts w:ascii="標楷體" w:eastAsia="標楷體" w:hAnsi="標楷體"/>
                <w:b/>
                <w:szCs w:val="24"/>
              </w:rPr>
              <w:t>款或第</w:t>
            </w:r>
            <w:r>
              <w:rPr>
                <w:rFonts w:ascii="標楷體" w:eastAsia="標楷體" w:hAnsi="標楷體"/>
                <w:b/>
                <w:szCs w:val="24"/>
              </w:rPr>
              <w:t>2</w:t>
            </w:r>
            <w:r>
              <w:rPr>
                <w:rFonts w:ascii="標楷體" w:eastAsia="標楷體" w:hAnsi="標楷體"/>
                <w:b/>
                <w:szCs w:val="24"/>
              </w:rPr>
              <w:t>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6F16E6">
            <w:pPr>
              <w:spacing w:line="300" w:lineRule="exact"/>
              <w:ind w:left="538" w:hanging="538"/>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r>
              <w:rPr>
                <w:rFonts w:ascii="標楷體" w:eastAsia="標楷體" w:hAnsi="標楷體" w:cs="細明體"/>
                <w:color w:val="000000"/>
                <w:kern w:val="0"/>
              </w:rPr>
              <w:t>依政府採購法以公告程序或同法第一百零五條辦理之採購。</w:t>
            </w:r>
          </w:p>
          <w:p w:rsidR="002E2BCF" w:rsidRDefault="006F16E6">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2E2BCF">
        <w:tblPrEx>
          <w:tblCellMar>
            <w:top w:w="0" w:type="dxa"/>
            <w:bottom w:w="0" w:type="dxa"/>
          </w:tblCellMar>
        </w:tblPrEx>
        <w:trPr>
          <w:trHeight w:val="1259"/>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2E2BCF">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6F16E6">
            <w:pPr>
              <w:spacing w:line="300" w:lineRule="exact"/>
              <w:ind w:left="538" w:hanging="538"/>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r>
              <w:rPr>
                <w:rFonts w:ascii="標楷體" w:eastAsia="標楷體" w:hAnsi="標楷體" w:cs="細明體"/>
                <w:color w:val="000000"/>
                <w:kern w:val="0"/>
              </w:rPr>
              <w:t>依法令規定經由公平競爭方式，以公告程序辦理之採購、標售、標租或招標設定用益物權。</w:t>
            </w:r>
          </w:p>
          <w:p w:rsidR="002E2BCF" w:rsidRDefault="006F16E6">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bl>
    <w:p w:rsidR="002E2BCF" w:rsidRDefault="002E2BCF">
      <w:pPr>
        <w:spacing w:line="320" w:lineRule="exact"/>
        <w:ind w:right="-900"/>
        <w:jc w:val="both"/>
        <w:rPr>
          <w:rFonts w:ascii="標楷體" w:eastAsia="標楷體" w:hAnsi="標楷體"/>
          <w:sz w:val="20"/>
          <w:szCs w:val="20"/>
        </w:rPr>
      </w:pPr>
    </w:p>
    <w:p w:rsidR="002E2BCF" w:rsidRDefault="006F16E6">
      <w:pPr>
        <w:spacing w:line="320" w:lineRule="exact"/>
        <w:ind w:left="-123" w:right="-900" w:hanging="868"/>
        <w:jc w:val="both"/>
      </w:pPr>
      <w:r>
        <w:rPr>
          <w:rFonts w:ascii="標楷體" w:eastAsia="標楷體" w:hAnsi="標楷體"/>
          <w:sz w:val="28"/>
          <w:szCs w:val="28"/>
        </w:rPr>
        <w:t>三、補助行為表</w:t>
      </w:r>
    </w:p>
    <w:tbl>
      <w:tblPr>
        <w:tblW w:w="10632" w:type="dxa"/>
        <w:tblInd w:w="-885" w:type="dxa"/>
        <w:tblCellMar>
          <w:left w:w="10" w:type="dxa"/>
          <w:right w:w="10" w:type="dxa"/>
        </w:tblCellMar>
        <w:tblLook w:val="0000" w:firstRow="0" w:lastRow="0" w:firstColumn="0" w:lastColumn="0" w:noHBand="0" w:noVBand="0"/>
      </w:tblPr>
      <w:tblGrid>
        <w:gridCol w:w="2694"/>
        <w:gridCol w:w="3879"/>
        <w:gridCol w:w="675"/>
        <w:gridCol w:w="3384"/>
      </w:tblGrid>
      <w:tr w:rsidR="002E2BCF">
        <w:tblPrEx>
          <w:tblCellMar>
            <w:top w:w="0" w:type="dxa"/>
            <w:bottom w:w="0" w:type="dxa"/>
          </w:tblCellMar>
        </w:tblPrEx>
        <w:trPr>
          <w:trHeight w:val="40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6F16E6">
            <w:pPr>
              <w:tabs>
                <w:tab w:val="left" w:pos="1458"/>
              </w:tabs>
              <w:spacing w:line="440" w:lineRule="exact"/>
              <w:ind w:right="-900"/>
              <w:jc w:val="cente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項之補助行為</w:t>
            </w:r>
          </w:p>
        </w:tc>
      </w:tr>
      <w:tr w:rsidR="002E2BC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6F16E6">
            <w:pPr>
              <w:spacing w:line="340" w:lineRule="exact"/>
              <w:rPr>
                <w:rFonts w:ascii="標楷體" w:eastAsia="標楷體" w:hAnsi="標楷體"/>
                <w:b/>
                <w:szCs w:val="24"/>
              </w:rPr>
            </w:pPr>
            <w:r>
              <w:rPr>
                <w:rFonts w:ascii="標楷體" w:eastAsia="標楷體" w:hAnsi="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2E2BCF">
            <w:pPr>
              <w:spacing w:line="340" w:lineRule="exact"/>
              <w:ind w:right="-900"/>
              <w:jc w:val="both"/>
              <w:rPr>
                <w:rFonts w:ascii="標楷體" w:eastAsia="標楷體" w:hAnsi="標楷體"/>
                <w:b/>
                <w:sz w:val="32"/>
                <w:szCs w:val="32"/>
              </w:rPr>
            </w:pPr>
          </w:p>
        </w:tc>
      </w:tr>
      <w:tr w:rsidR="002E2BC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6F16E6">
            <w:pPr>
              <w:spacing w:line="340" w:lineRule="exact"/>
            </w:pPr>
            <w:r>
              <w:rPr>
                <w:rFonts w:ascii="標楷體" w:eastAsia="標楷體" w:hAnsi="標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2E2BCF">
            <w:pPr>
              <w:spacing w:line="340" w:lineRule="exact"/>
              <w:ind w:right="-900"/>
              <w:jc w:val="both"/>
              <w:rPr>
                <w:rFonts w:ascii="標楷體" w:eastAsia="標楷體" w:hAnsi="標楷體"/>
                <w:b/>
                <w:sz w:val="32"/>
                <w:szCs w:val="3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6F16E6">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6F16E6">
            <w:pPr>
              <w:spacing w:line="340" w:lineRule="exact"/>
              <w:ind w:right="-900"/>
              <w:jc w:val="both"/>
            </w:pPr>
            <w:r>
              <w:rPr>
                <w:rFonts w:ascii="標楷體" w:eastAsia="標楷體" w:hAnsi="標楷體"/>
                <w:sz w:val="20"/>
                <w:szCs w:val="20"/>
              </w:rPr>
              <w:t xml:space="preserve">                </w:t>
            </w:r>
            <w:r>
              <w:rPr>
                <w:rFonts w:ascii="標楷體" w:eastAsia="標楷體" w:hAnsi="標楷體"/>
                <w:sz w:val="20"/>
                <w:szCs w:val="20"/>
              </w:rPr>
              <w:t>（無案號者免填）</w:t>
            </w:r>
          </w:p>
        </w:tc>
      </w:tr>
      <w:tr w:rsidR="002E2BC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6F16E6">
            <w:pPr>
              <w:spacing w:line="340" w:lineRule="exact"/>
            </w:pPr>
            <w:r>
              <w:rPr>
                <w:rFonts w:ascii="標楷體" w:eastAsia="標楷體" w:hAnsi="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2E2BCF">
            <w:pPr>
              <w:spacing w:line="340" w:lineRule="exact"/>
              <w:ind w:right="-900"/>
              <w:jc w:val="both"/>
              <w:rPr>
                <w:rFonts w:ascii="標楷體" w:eastAsia="標楷體" w:hAnsi="標楷體"/>
                <w:b/>
                <w:sz w:val="32"/>
                <w:szCs w:val="32"/>
              </w:rPr>
            </w:pPr>
          </w:p>
        </w:tc>
      </w:tr>
      <w:tr w:rsidR="002E2BC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6F16E6">
            <w:pPr>
              <w:spacing w:line="340" w:lineRule="exact"/>
              <w:rPr>
                <w:rFonts w:ascii="標楷體" w:eastAsia="標楷體" w:hAnsi="標楷體"/>
                <w:b/>
                <w:szCs w:val="24"/>
              </w:rPr>
            </w:pPr>
            <w:r>
              <w:rPr>
                <w:rFonts w:ascii="標楷體" w:eastAsia="標楷體" w:hAnsi="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2E2BCF">
            <w:pPr>
              <w:spacing w:line="340" w:lineRule="exact"/>
              <w:ind w:right="-900"/>
              <w:jc w:val="both"/>
              <w:rPr>
                <w:rFonts w:ascii="標楷體" w:eastAsia="標楷體" w:hAnsi="標楷體"/>
                <w:b/>
                <w:sz w:val="32"/>
                <w:szCs w:val="32"/>
              </w:rPr>
            </w:pPr>
          </w:p>
        </w:tc>
      </w:tr>
      <w:tr w:rsidR="002E2BC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6F16E6">
            <w:pPr>
              <w:spacing w:line="340" w:lineRule="exact"/>
              <w:rPr>
                <w:rFonts w:ascii="標楷體" w:eastAsia="標楷體" w:hAnsi="標楷體"/>
                <w:b/>
                <w:szCs w:val="24"/>
              </w:rPr>
            </w:pPr>
            <w:r>
              <w:rPr>
                <w:rFonts w:ascii="標楷體" w:eastAsia="標楷體" w:hAnsi="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2E2BCF">
            <w:pPr>
              <w:spacing w:line="340" w:lineRule="exact"/>
              <w:ind w:right="-900"/>
              <w:jc w:val="both"/>
              <w:rPr>
                <w:rFonts w:ascii="標楷體" w:eastAsia="標楷體" w:hAnsi="標楷體"/>
                <w:b/>
                <w:sz w:val="32"/>
                <w:szCs w:val="32"/>
              </w:rPr>
            </w:pPr>
          </w:p>
        </w:tc>
      </w:tr>
      <w:tr w:rsidR="002E2BCF">
        <w:tblPrEx>
          <w:tblCellMar>
            <w:top w:w="0" w:type="dxa"/>
            <w:bottom w:w="0" w:type="dxa"/>
          </w:tblCellMar>
        </w:tblPrEx>
        <w:trPr>
          <w:trHeight w:val="89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6F16E6">
            <w:pPr>
              <w:spacing w:line="300" w:lineRule="exact"/>
              <w:rPr>
                <w:rFonts w:ascii="標楷體" w:eastAsia="標楷體" w:hAnsi="標楷體"/>
                <w:b/>
                <w:szCs w:val="24"/>
              </w:rPr>
            </w:pPr>
            <w:r>
              <w:rPr>
                <w:rFonts w:ascii="標楷體" w:eastAsia="標楷體" w:hAnsi="標楷體"/>
                <w:b/>
                <w:szCs w:val="24"/>
              </w:rPr>
              <w:t>補助屬第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3</w:t>
            </w:r>
            <w:r>
              <w:rPr>
                <w:rFonts w:ascii="標楷體" w:eastAsia="標楷體" w:hAnsi="標楷體"/>
                <w:b/>
                <w:szCs w:val="24"/>
              </w:rPr>
              <w:t>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6F16E6">
            <w:pPr>
              <w:spacing w:line="360" w:lineRule="exact"/>
              <w:ind w:left="1181" w:right="-674" w:hanging="1181"/>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對公職人員之關係人依法令規定以公開公平方式辦理之補助。</w:t>
            </w:r>
          </w:p>
          <w:p w:rsidR="002E2BCF" w:rsidRDefault="006F16E6">
            <w:pPr>
              <w:spacing w:before="180" w:line="320" w:lineRule="exact"/>
              <w:ind w:left="1181" w:right="-674" w:hanging="1181"/>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2E2BCF">
        <w:tblPrEx>
          <w:tblCellMar>
            <w:top w:w="0" w:type="dxa"/>
            <w:bottom w:w="0" w:type="dxa"/>
          </w:tblCellMar>
        </w:tblPrEx>
        <w:trPr>
          <w:trHeight w:val="416"/>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2E2BCF">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BCF" w:rsidRDefault="006F16E6">
            <w:pPr>
              <w:spacing w:line="340" w:lineRule="exact"/>
              <w:ind w:left="1181" w:right="34" w:hanging="1181"/>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rsidR="002E2BCF" w:rsidRDefault="006F16E6">
            <w:pPr>
              <w:spacing w:line="340" w:lineRule="exact"/>
              <w:ind w:left="254" w:hanging="254"/>
              <w:jc w:val="both"/>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rsidR="002E2BCF" w:rsidRDefault="006F16E6">
            <w:pPr>
              <w:spacing w:line="340" w:lineRule="exact"/>
              <w:ind w:left="254" w:hanging="254"/>
              <w:jc w:val="both"/>
            </w:pPr>
            <w:r>
              <w:rPr>
                <w:rFonts w:ascii="標楷體" w:eastAsia="標楷體" w:hAnsi="標楷體"/>
                <w:szCs w:val="24"/>
              </w:rPr>
              <w:t>核定之補助法令主管機關：</w:t>
            </w:r>
            <w:r>
              <w:rPr>
                <w:rFonts w:ascii="標楷體" w:eastAsia="標楷體" w:hAnsi="標楷體"/>
                <w:szCs w:val="24"/>
                <w:u w:val="single"/>
              </w:rPr>
              <w:t xml:space="preserve">                              </w:t>
            </w:r>
          </w:p>
          <w:p w:rsidR="002E2BCF" w:rsidRDefault="006F16E6">
            <w:pPr>
              <w:spacing w:line="340" w:lineRule="exact"/>
              <w:ind w:left="254" w:hanging="254"/>
              <w:jc w:val="both"/>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rsidR="002E2BCF" w:rsidRDefault="006F16E6">
            <w:pPr>
              <w:spacing w:line="340" w:lineRule="exact"/>
              <w:ind w:left="254" w:hanging="254"/>
              <w:jc w:val="both"/>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rsidR="002E2BCF" w:rsidRDefault="006F16E6">
      <w:pPr>
        <w:spacing w:line="360" w:lineRule="exact"/>
        <w:ind w:left="-512" w:right="-900" w:hanging="196"/>
        <w:rPr>
          <w:rFonts w:ascii="標楷體" w:eastAsia="標楷體" w:hAnsi="標楷體"/>
          <w:sz w:val="28"/>
          <w:szCs w:val="28"/>
        </w:rPr>
      </w:pPr>
      <w:r>
        <w:rPr>
          <w:rFonts w:ascii="標楷體" w:eastAsia="標楷體" w:hAnsi="標楷體"/>
          <w:sz w:val="28"/>
          <w:szCs w:val="28"/>
        </w:rPr>
        <w:t>備註：</w:t>
      </w:r>
    </w:p>
    <w:p w:rsidR="002E2BCF" w:rsidRDefault="006F16E6">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主動公開之機關團體：</w:t>
      </w:r>
    </w:p>
    <w:p w:rsidR="002E2BCF" w:rsidRDefault="006F16E6">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2E2BCF" w:rsidRDefault="002E2BCF">
      <w:pPr>
        <w:spacing w:line="280" w:lineRule="exact"/>
        <w:ind w:left="-568" w:right="-900" w:hanging="140"/>
        <w:rPr>
          <w:rFonts w:ascii="標楷體" w:eastAsia="標楷體" w:hAnsi="標楷體"/>
          <w:sz w:val="20"/>
          <w:szCs w:val="20"/>
        </w:rPr>
      </w:pPr>
    </w:p>
    <w:p w:rsidR="002E2BCF" w:rsidRDefault="002E2BCF">
      <w:pPr>
        <w:spacing w:line="280" w:lineRule="exact"/>
        <w:ind w:left="-568" w:right="-900" w:hanging="140"/>
        <w:rPr>
          <w:rFonts w:ascii="標楷體" w:eastAsia="標楷體" w:hAnsi="標楷體"/>
          <w:sz w:val="20"/>
          <w:szCs w:val="20"/>
        </w:rPr>
      </w:pPr>
    </w:p>
    <w:p w:rsidR="002E2BCF" w:rsidRDefault="006F16E6">
      <w:pPr>
        <w:spacing w:line="320" w:lineRule="exact"/>
        <w:ind w:left="-417" w:right="-900" w:hanging="291"/>
        <w:jc w:val="both"/>
        <w:rPr>
          <w:rFonts w:ascii="標楷體" w:eastAsia="標楷體" w:hAnsi="標楷體"/>
          <w:b/>
          <w:sz w:val="22"/>
          <w:shd w:val="clear" w:color="auto" w:fill="FFFFFF"/>
        </w:rPr>
      </w:pPr>
      <w:r>
        <w:rPr>
          <w:rFonts w:ascii="標楷體" w:eastAsia="標楷體" w:hAnsi="標楷體"/>
          <w:b/>
          <w:sz w:val="22"/>
          <w:shd w:val="clear" w:color="auto" w:fill="FFFFFF"/>
        </w:rPr>
        <w:t>※</w:t>
      </w:r>
      <w:r>
        <w:rPr>
          <w:rFonts w:ascii="標楷體" w:eastAsia="標楷體" w:hAnsi="標楷體"/>
          <w:b/>
          <w:sz w:val="22"/>
          <w:shd w:val="clear" w:color="auto" w:fill="FFFFFF"/>
        </w:rPr>
        <w:t>填表說明：</w:t>
      </w:r>
    </w:p>
    <w:p w:rsidR="002E2BCF" w:rsidRDefault="006F16E6">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sz w:val="20"/>
          <w:szCs w:val="20"/>
        </w:rPr>
        <w:t>請機關團體一併將公職人員利益衝突迴避法第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2</w:t>
      </w:r>
      <w:r>
        <w:rPr>
          <w:rFonts w:ascii="標楷體" w:eastAsia="標楷體" w:hAnsi="標楷體"/>
          <w:sz w:val="20"/>
          <w:szCs w:val="20"/>
        </w:rPr>
        <w:t>項公職人員及關係人身分關係揭露表範本【</w:t>
      </w:r>
      <w:r>
        <w:rPr>
          <w:rFonts w:ascii="標楷體" w:eastAsia="標楷體" w:hAnsi="標楷體"/>
          <w:sz w:val="20"/>
          <w:szCs w:val="20"/>
        </w:rPr>
        <w:t>A.</w:t>
      </w:r>
      <w:r>
        <w:rPr>
          <w:rFonts w:ascii="標楷體" w:eastAsia="標楷體" w:hAnsi="標楷體"/>
          <w:sz w:val="20"/>
          <w:szCs w:val="20"/>
        </w:rPr>
        <w:t>事前揭露】公開。</w:t>
      </w:r>
    </w:p>
    <w:p w:rsidR="002E2BCF" w:rsidRDefault="006F16E6">
      <w:pPr>
        <w:spacing w:line="240" w:lineRule="exact"/>
        <w:ind w:left="-427" w:right="-1044" w:hanging="564"/>
        <w:rPr>
          <w:rFonts w:ascii="標楷體" w:eastAsia="標楷體" w:hAnsi="標楷體"/>
          <w:sz w:val="20"/>
          <w:szCs w:val="20"/>
        </w:rPr>
      </w:pPr>
      <w:r>
        <w:rPr>
          <w:rFonts w:ascii="標楷體" w:eastAsia="標楷體" w:hAnsi="標楷體"/>
          <w:sz w:val="20"/>
          <w:szCs w:val="20"/>
        </w:rPr>
        <w:t xml:space="preserve">   2. </w:t>
      </w:r>
      <w:r>
        <w:rPr>
          <w:rFonts w:ascii="標楷體" w:eastAsia="標楷體" w:hAnsi="標楷體"/>
          <w:sz w:val="20"/>
          <w:szCs w:val="20"/>
        </w:rPr>
        <w:t>本案屬公職人員利益衝突迴避法第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項之交易行為者，請填寫二、交易行為表；屬補助行為者，請填寫三、補助行為表。</w:t>
      </w:r>
    </w:p>
    <w:p w:rsidR="002E2BCF" w:rsidRDefault="006F16E6">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 xml:space="preserve">3. </w:t>
      </w:r>
      <w:r>
        <w:rPr>
          <w:rFonts w:ascii="標楷體" w:eastAsia="標楷體" w:hAnsi="標楷體"/>
          <w:sz w:val="20"/>
          <w:szCs w:val="20"/>
        </w:rPr>
        <w:t>二、交易行為表請填寫交易機關、名稱、時間、對象、金額，並勾選填寫屬第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項但書第</w:t>
      </w:r>
      <w:r>
        <w:rPr>
          <w:rFonts w:ascii="標楷體" w:eastAsia="標楷體" w:hAnsi="標楷體"/>
          <w:sz w:val="20"/>
          <w:szCs w:val="20"/>
        </w:rPr>
        <w:t>1</w:t>
      </w:r>
      <w:r>
        <w:rPr>
          <w:rFonts w:ascii="標楷體" w:eastAsia="標楷體" w:hAnsi="標楷體"/>
          <w:sz w:val="20"/>
          <w:szCs w:val="20"/>
        </w:rPr>
        <w:t>款或第</w:t>
      </w:r>
      <w:r>
        <w:rPr>
          <w:rFonts w:ascii="標楷體" w:eastAsia="標楷體" w:hAnsi="標楷體"/>
          <w:sz w:val="20"/>
          <w:szCs w:val="20"/>
        </w:rPr>
        <w:t>2</w:t>
      </w:r>
      <w:r>
        <w:rPr>
          <w:rFonts w:ascii="標楷體" w:eastAsia="標楷體" w:hAnsi="標楷體"/>
          <w:sz w:val="20"/>
          <w:szCs w:val="20"/>
        </w:rPr>
        <w:t>款之情形。</w:t>
      </w:r>
    </w:p>
    <w:p w:rsidR="002E2BCF" w:rsidRDefault="006F16E6">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 xml:space="preserve">4. </w:t>
      </w:r>
      <w:r>
        <w:rPr>
          <w:rFonts w:ascii="標楷體" w:eastAsia="標楷體" w:hAnsi="標楷體"/>
          <w:sz w:val="20"/>
          <w:szCs w:val="20"/>
        </w:rPr>
        <w:t>三、補助行為表請填寫補助機關、名稱、時間、對象、金額，並勾選屬第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項但書第</w:t>
      </w:r>
      <w:r>
        <w:rPr>
          <w:rFonts w:ascii="標楷體" w:eastAsia="標楷體" w:hAnsi="標楷體"/>
          <w:sz w:val="20"/>
          <w:szCs w:val="20"/>
        </w:rPr>
        <w:t>3</w:t>
      </w:r>
      <w:r>
        <w:rPr>
          <w:rFonts w:ascii="標楷體" w:eastAsia="標楷體" w:hAnsi="標楷體"/>
          <w:sz w:val="20"/>
          <w:szCs w:val="20"/>
        </w:rPr>
        <w:t>款前段或後段之情形。</w:t>
      </w:r>
    </w:p>
    <w:p w:rsidR="002E2BCF" w:rsidRDefault="002E2BCF">
      <w:pPr>
        <w:spacing w:line="280" w:lineRule="exact"/>
        <w:ind w:left="-568" w:right="-900" w:hanging="140"/>
        <w:rPr>
          <w:rFonts w:ascii="標楷體" w:eastAsia="標楷體" w:hAnsi="標楷體"/>
          <w:sz w:val="20"/>
          <w:szCs w:val="20"/>
        </w:rPr>
      </w:pPr>
    </w:p>
    <w:p w:rsidR="002E2BCF" w:rsidRDefault="002E2BCF">
      <w:pPr>
        <w:spacing w:line="280" w:lineRule="exact"/>
        <w:ind w:left="-568" w:right="-900" w:hanging="140"/>
        <w:rPr>
          <w:rFonts w:ascii="標楷體" w:eastAsia="標楷體" w:hAnsi="標楷體"/>
          <w:sz w:val="20"/>
          <w:szCs w:val="20"/>
        </w:rPr>
      </w:pPr>
    </w:p>
    <w:p w:rsidR="002E2BCF" w:rsidRDefault="006F16E6">
      <w:pPr>
        <w:spacing w:line="280" w:lineRule="exact"/>
        <w:ind w:left="-568" w:right="-900" w:hanging="140"/>
      </w:pPr>
      <w:r>
        <w:rPr>
          <w:rFonts w:ascii="標楷體" w:eastAsia="標楷體" w:hAnsi="標楷體"/>
          <w:b/>
          <w:sz w:val="20"/>
          <w:szCs w:val="20"/>
          <w:shd w:val="clear" w:color="auto" w:fill="FFFFFF"/>
        </w:rPr>
        <w:t>※</w:t>
      </w:r>
      <w:r>
        <w:rPr>
          <w:rFonts w:ascii="標楷體" w:eastAsia="標楷體" w:hAnsi="標楷體"/>
          <w:b/>
          <w:sz w:val="20"/>
          <w:szCs w:val="20"/>
          <w:shd w:val="clear" w:color="auto" w:fill="FFFFFF"/>
        </w:rPr>
        <w:t>相關法條</w:t>
      </w:r>
      <w:r>
        <w:rPr>
          <w:rFonts w:ascii="標楷體" w:eastAsia="標楷體" w:hAnsi="標楷體"/>
          <w:sz w:val="20"/>
          <w:szCs w:val="20"/>
        </w:rPr>
        <w:t>：</w:t>
      </w:r>
    </w:p>
    <w:p w:rsidR="002E2BCF" w:rsidRDefault="006F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公職人員利益衝突迴避法</w:t>
      </w:r>
    </w:p>
    <w:p w:rsidR="002E2BCF" w:rsidRDefault="006F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第</w:t>
      </w:r>
      <w:r>
        <w:rPr>
          <w:rFonts w:ascii="標楷體" w:eastAsia="標楷體" w:hAnsi="標楷體" w:cs="細明體"/>
          <w:kern w:val="0"/>
          <w:sz w:val="20"/>
          <w:szCs w:val="20"/>
        </w:rPr>
        <w:t>2</w:t>
      </w:r>
      <w:r>
        <w:rPr>
          <w:rFonts w:ascii="標楷體" w:eastAsia="標楷體" w:hAnsi="標楷體" w:cs="細明體"/>
          <w:kern w:val="0"/>
          <w:sz w:val="20"/>
          <w:szCs w:val="20"/>
        </w:rPr>
        <w:t>條</w:t>
      </w:r>
    </w:p>
    <w:p w:rsidR="002E2BCF" w:rsidRDefault="006F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本法所稱公職人員，其範圍如下：</w:t>
      </w:r>
    </w:p>
    <w:p w:rsidR="002E2BCF" w:rsidRDefault="006F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一、總統、副總統。</w:t>
      </w:r>
    </w:p>
    <w:p w:rsidR="002E2BCF" w:rsidRDefault="006F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二、各級政府機關（構）、公營事業總、分支機構之首長、副首長、幕僚長、副幕僚長與該等職務之人。</w:t>
      </w:r>
    </w:p>
    <w:p w:rsidR="002E2BCF" w:rsidRDefault="006F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三、政務人員。</w:t>
      </w:r>
    </w:p>
    <w:p w:rsidR="002E2BCF" w:rsidRDefault="006F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四、各級公立學校、軍警院校、矯正學校校長、副校長；其設有附屬機構者，該機構之首長、副首長。</w:t>
      </w:r>
    </w:p>
    <w:p w:rsidR="002E2BCF" w:rsidRDefault="006F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五、各級民意機關之民意代表。</w:t>
      </w:r>
    </w:p>
    <w:p w:rsidR="002E2BCF" w:rsidRDefault="006F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六、代表政府或公股出任其出資、捐助之私法人之董事、監察人與該等職務之人。</w:t>
      </w:r>
    </w:p>
    <w:p w:rsidR="002E2BCF" w:rsidRDefault="006F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七、公法人之董事、監察人、首長、執行長與該等職務之人。</w:t>
      </w:r>
    </w:p>
    <w:p w:rsidR="002E2BCF" w:rsidRDefault="006F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八、政府捐助之財團法人之董事長、執行長、秘書長與該等職務之人。</w:t>
      </w:r>
    </w:p>
    <w:p w:rsidR="002E2BCF" w:rsidRDefault="006F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九、法官、檢察官、戰時軍法官、行政執行官、司法事務官及檢察事務官。</w:t>
      </w:r>
    </w:p>
    <w:p w:rsidR="002E2BCF" w:rsidRDefault="006F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十、各級軍事機關（構）及部隊上校編階以上之主官、副主官。</w:t>
      </w:r>
    </w:p>
    <w:p w:rsidR="002E2BCF" w:rsidRDefault="006F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rsidR="002E2BCF" w:rsidRDefault="006F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十二、其他職務性質特殊，經行政院會同主管府、院核定適用本法之人員。</w:t>
      </w:r>
    </w:p>
    <w:p w:rsidR="002E2BCF" w:rsidRDefault="006F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依法代理執行前項公職人員職務之人員，於執行該職務期間亦屬本法之公職人員。</w:t>
      </w:r>
    </w:p>
    <w:p w:rsidR="002E2BCF" w:rsidRDefault="002E2BCF">
      <w:pPr>
        <w:spacing w:line="240" w:lineRule="exact"/>
        <w:ind w:left="-568" w:right="-900" w:hanging="140"/>
        <w:jc w:val="both"/>
        <w:rPr>
          <w:rFonts w:ascii="標楷體" w:eastAsia="標楷體" w:hAnsi="標楷體"/>
          <w:sz w:val="20"/>
          <w:szCs w:val="20"/>
        </w:rPr>
      </w:pPr>
    </w:p>
    <w:p w:rsidR="002E2BCF" w:rsidRDefault="006F16E6">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3</w:t>
      </w:r>
      <w:r>
        <w:rPr>
          <w:rFonts w:ascii="標楷體" w:eastAsia="標楷體" w:hAnsi="標楷體"/>
          <w:sz w:val="20"/>
          <w:szCs w:val="20"/>
        </w:rPr>
        <w:t>條</w:t>
      </w:r>
    </w:p>
    <w:p w:rsidR="002E2BCF" w:rsidRDefault="006F16E6">
      <w:pPr>
        <w:pStyle w:val="HTML"/>
        <w:spacing w:line="240" w:lineRule="exact"/>
        <w:jc w:val="both"/>
        <w:rPr>
          <w:rFonts w:ascii="標楷體" w:eastAsia="標楷體" w:hAnsi="標楷體"/>
          <w:sz w:val="20"/>
          <w:szCs w:val="20"/>
        </w:rPr>
      </w:pPr>
      <w:r>
        <w:rPr>
          <w:rFonts w:ascii="標楷體" w:eastAsia="標楷體" w:hAnsi="標楷體"/>
          <w:sz w:val="20"/>
          <w:szCs w:val="20"/>
        </w:rPr>
        <w:t>本法所定公職人員之關係人，其範圍如下：</w:t>
      </w:r>
    </w:p>
    <w:p w:rsidR="002E2BCF" w:rsidRDefault="006F16E6">
      <w:pPr>
        <w:pStyle w:val="HTML"/>
        <w:spacing w:line="240" w:lineRule="exact"/>
        <w:jc w:val="both"/>
        <w:rPr>
          <w:rFonts w:ascii="標楷體" w:eastAsia="標楷體" w:hAnsi="標楷體"/>
          <w:sz w:val="20"/>
          <w:szCs w:val="20"/>
        </w:rPr>
      </w:pPr>
      <w:r>
        <w:rPr>
          <w:rFonts w:ascii="標楷體" w:eastAsia="標楷體" w:hAnsi="標楷體"/>
          <w:sz w:val="20"/>
          <w:szCs w:val="20"/>
        </w:rPr>
        <w:t>一、公職人員之配偶或共同</w:t>
      </w:r>
      <w:r>
        <w:rPr>
          <w:rFonts w:ascii="標楷體" w:eastAsia="標楷體" w:hAnsi="標楷體"/>
          <w:sz w:val="20"/>
          <w:szCs w:val="20"/>
        </w:rPr>
        <w:t>生活之家屬。</w:t>
      </w:r>
    </w:p>
    <w:p w:rsidR="002E2BCF" w:rsidRDefault="006F16E6">
      <w:pPr>
        <w:pStyle w:val="HTML"/>
        <w:spacing w:line="240" w:lineRule="exact"/>
        <w:jc w:val="both"/>
        <w:rPr>
          <w:rFonts w:ascii="標楷體" w:eastAsia="標楷體" w:hAnsi="標楷體"/>
          <w:sz w:val="20"/>
          <w:szCs w:val="20"/>
        </w:rPr>
      </w:pPr>
      <w:r>
        <w:rPr>
          <w:rFonts w:ascii="標楷體" w:eastAsia="標楷體" w:hAnsi="標楷體"/>
          <w:sz w:val="20"/>
          <w:szCs w:val="20"/>
        </w:rPr>
        <w:t>二、公職人員之二親等以內親屬。</w:t>
      </w:r>
    </w:p>
    <w:p w:rsidR="002E2BCF" w:rsidRDefault="006F16E6">
      <w:pPr>
        <w:pStyle w:val="HTML"/>
        <w:spacing w:line="240" w:lineRule="exact"/>
        <w:jc w:val="both"/>
        <w:rPr>
          <w:rFonts w:ascii="標楷體" w:eastAsia="標楷體" w:hAnsi="標楷體"/>
          <w:sz w:val="20"/>
          <w:szCs w:val="20"/>
        </w:rPr>
      </w:pPr>
      <w:r>
        <w:rPr>
          <w:rFonts w:ascii="標楷體" w:eastAsia="標楷體" w:hAnsi="標楷體"/>
          <w:sz w:val="20"/>
          <w:szCs w:val="20"/>
        </w:rPr>
        <w:t>三、公職人員或其配偶信託財產之受託人。但依法辦理強制信託時，不在此限。</w:t>
      </w:r>
    </w:p>
    <w:p w:rsidR="002E2BCF" w:rsidRDefault="006F16E6">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2E2BCF" w:rsidRDefault="006F16E6">
      <w:pPr>
        <w:pStyle w:val="HTML"/>
        <w:spacing w:line="240" w:lineRule="exact"/>
        <w:jc w:val="both"/>
        <w:rPr>
          <w:rFonts w:ascii="標楷體" w:eastAsia="標楷體" w:hAnsi="標楷體"/>
          <w:sz w:val="20"/>
          <w:szCs w:val="20"/>
        </w:rPr>
      </w:pPr>
      <w:r>
        <w:rPr>
          <w:rFonts w:ascii="標楷體" w:eastAsia="標楷體" w:hAnsi="標楷體"/>
          <w:sz w:val="20"/>
          <w:szCs w:val="20"/>
        </w:rPr>
        <w:t>五、經公職人員進用之機要人員。</w:t>
      </w:r>
    </w:p>
    <w:p w:rsidR="002E2BCF" w:rsidRDefault="006F16E6">
      <w:pPr>
        <w:pStyle w:val="HTML"/>
        <w:spacing w:line="240" w:lineRule="exact"/>
        <w:jc w:val="both"/>
        <w:rPr>
          <w:rFonts w:ascii="標楷體" w:eastAsia="標楷體" w:hAnsi="標楷體"/>
          <w:sz w:val="20"/>
          <w:szCs w:val="20"/>
        </w:rPr>
      </w:pPr>
      <w:r>
        <w:rPr>
          <w:rFonts w:ascii="標楷體" w:eastAsia="標楷體" w:hAnsi="標楷體"/>
          <w:sz w:val="20"/>
          <w:szCs w:val="20"/>
        </w:rPr>
        <w:t>六、各級民意代表之助理。</w:t>
      </w:r>
    </w:p>
    <w:p w:rsidR="002E2BCF" w:rsidRDefault="006F16E6">
      <w:pPr>
        <w:pStyle w:val="HTML"/>
        <w:spacing w:line="240" w:lineRule="exact"/>
        <w:jc w:val="both"/>
        <w:rPr>
          <w:rFonts w:ascii="標楷體" w:eastAsia="標楷體" w:hAnsi="標楷體"/>
          <w:sz w:val="20"/>
          <w:szCs w:val="20"/>
        </w:rPr>
      </w:pPr>
      <w:r>
        <w:rPr>
          <w:rFonts w:ascii="標楷體" w:eastAsia="標楷體" w:hAnsi="標楷體"/>
          <w:sz w:val="20"/>
          <w:szCs w:val="20"/>
        </w:rPr>
        <w:t>前項第六款所稱之助理指各級民意代表之公費助理、其加入助理工會之助理及其他受其指揮監督之助理。</w:t>
      </w:r>
    </w:p>
    <w:p w:rsidR="002E2BCF" w:rsidRDefault="006F16E6">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p>
    <w:p w:rsidR="002E2BCF" w:rsidRDefault="006F16E6">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14</w:t>
      </w:r>
      <w:r>
        <w:rPr>
          <w:rFonts w:ascii="標楷體" w:eastAsia="標楷體" w:hAnsi="標楷體"/>
          <w:sz w:val="20"/>
          <w:szCs w:val="20"/>
        </w:rPr>
        <w:t>條</w:t>
      </w:r>
    </w:p>
    <w:p w:rsidR="002E2BCF" w:rsidRDefault="006F16E6">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公職人員或其關係人，不得與公職人員服務或受其監督之機關團體為補助、買賣、租賃、承攬或其他具有對價之交易行為。但有下列情形之一者，不在此限：</w:t>
      </w:r>
    </w:p>
    <w:p w:rsidR="002E2BCF" w:rsidRDefault="006F16E6">
      <w:pPr>
        <w:pStyle w:val="HTML"/>
        <w:spacing w:line="240" w:lineRule="exact"/>
        <w:jc w:val="both"/>
        <w:rPr>
          <w:rFonts w:ascii="標楷體" w:eastAsia="標楷體" w:hAnsi="標楷體"/>
          <w:sz w:val="20"/>
          <w:szCs w:val="20"/>
        </w:rPr>
      </w:pPr>
      <w:r>
        <w:rPr>
          <w:rFonts w:ascii="標楷體" w:eastAsia="標楷體" w:hAnsi="標楷體"/>
          <w:sz w:val="20"/>
          <w:szCs w:val="20"/>
        </w:rPr>
        <w:t>一、依政府採購法以公告程序或同法第一百零五條辦理之採購。</w:t>
      </w:r>
    </w:p>
    <w:p w:rsidR="002E2BCF" w:rsidRDefault="006F16E6">
      <w:pPr>
        <w:pStyle w:val="HTML"/>
        <w:spacing w:line="240" w:lineRule="exact"/>
        <w:jc w:val="both"/>
        <w:rPr>
          <w:rFonts w:ascii="標楷體" w:eastAsia="標楷體" w:hAnsi="標楷體"/>
          <w:sz w:val="20"/>
          <w:szCs w:val="20"/>
        </w:rPr>
      </w:pPr>
      <w:r>
        <w:rPr>
          <w:rFonts w:ascii="標楷體" w:eastAsia="標楷體" w:hAnsi="標楷體"/>
          <w:sz w:val="20"/>
          <w:szCs w:val="20"/>
        </w:rPr>
        <w:t>二、依法令規定經由公平競爭方式，以公告程序辦理之採購、標售、標租或招標設定用益物權。</w:t>
      </w:r>
    </w:p>
    <w:p w:rsidR="002E2BCF" w:rsidRDefault="006F16E6">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rsidR="002E2BCF" w:rsidRDefault="006F16E6">
      <w:pPr>
        <w:pStyle w:val="HTML"/>
        <w:spacing w:line="240" w:lineRule="exact"/>
        <w:jc w:val="both"/>
        <w:rPr>
          <w:rFonts w:ascii="標楷體" w:eastAsia="標楷體" w:hAnsi="標楷體"/>
          <w:sz w:val="20"/>
          <w:szCs w:val="20"/>
        </w:rPr>
      </w:pPr>
      <w:r>
        <w:rPr>
          <w:rFonts w:ascii="標楷體" w:eastAsia="標楷體" w:hAnsi="標楷體"/>
          <w:sz w:val="20"/>
          <w:szCs w:val="20"/>
        </w:rPr>
        <w:t>四、交易標的為公職人員服務或受其監督之機關團體所提供，並以公定價格交</w:t>
      </w:r>
      <w:r>
        <w:rPr>
          <w:rFonts w:ascii="標楷體" w:eastAsia="標楷體" w:hAnsi="標楷體"/>
          <w:sz w:val="20"/>
          <w:szCs w:val="20"/>
        </w:rPr>
        <w:t>易。</w:t>
      </w:r>
    </w:p>
    <w:p w:rsidR="002E2BCF" w:rsidRDefault="006F16E6">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五、公營事業機構執行國家建設、公共政策或為公益用途申請承租、承購、委託經營、改良利用國有非公用不動產。</w:t>
      </w:r>
    </w:p>
    <w:p w:rsidR="002E2BCF" w:rsidRDefault="006F16E6">
      <w:pPr>
        <w:pStyle w:val="HTML"/>
        <w:spacing w:line="240" w:lineRule="exact"/>
        <w:jc w:val="both"/>
        <w:rPr>
          <w:rFonts w:ascii="標楷體" w:eastAsia="標楷體" w:hAnsi="標楷體"/>
          <w:sz w:val="20"/>
          <w:szCs w:val="20"/>
        </w:rPr>
      </w:pPr>
      <w:r>
        <w:rPr>
          <w:rFonts w:ascii="標楷體" w:eastAsia="標楷體" w:hAnsi="標楷體"/>
          <w:sz w:val="20"/>
          <w:szCs w:val="20"/>
        </w:rPr>
        <w:t>六、一定金額以下之補助及交易。</w:t>
      </w:r>
    </w:p>
    <w:p w:rsidR="002E2BCF" w:rsidRDefault="006F16E6">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2E2BCF" w:rsidRDefault="006F16E6">
      <w:pPr>
        <w:pStyle w:val="HTML"/>
        <w:spacing w:line="240" w:lineRule="exact"/>
        <w:jc w:val="both"/>
        <w:rPr>
          <w:rFonts w:ascii="標楷體" w:eastAsia="標楷體" w:hAnsi="標楷體"/>
          <w:sz w:val="20"/>
          <w:szCs w:val="20"/>
        </w:rPr>
      </w:pPr>
      <w:r>
        <w:rPr>
          <w:rFonts w:ascii="標楷體" w:eastAsia="標楷體" w:hAnsi="標楷體"/>
          <w:sz w:val="20"/>
          <w:szCs w:val="20"/>
        </w:rPr>
        <w:lastRenderedPageBreak/>
        <w:t>前項公開應利用電信網路或其他方式供公眾線上查詢。</w:t>
      </w:r>
    </w:p>
    <w:p w:rsidR="002E2BCF" w:rsidRDefault="006F16E6">
      <w:pPr>
        <w:pStyle w:val="HTML"/>
        <w:spacing w:line="240" w:lineRule="exact"/>
        <w:jc w:val="both"/>
        <w:rPr>
          <w:rFonts w:ascii="標楷體" w:eastAsia="標楷體" w:hAnsi="標楷體"/>
          <w:sz w:val="20"/>
          <w:szCs w:val="20"/>
        </w:rPr>
      </w:pPr>
      <w:r>
        <w:rPr>
          <w:rFonts w:ascii="標楷體" w:eastAsia="標楷體" w:hAnsi="標楷體"/>
          <w:sz w:val="20"/>
          <w:szCs w:val="20"/>
        </w:rPr>
        <w:t>第一項但書第六款之一定金額，由行政院會同監察</w:t>
      </w:r>
      <w:r>
        <w:rPr>
          <w:rFonts w:ascii="標楷體" w:eastAsia="標楷體" w:hAnsi="標楷體"/>
          <w:sz w:val="20"/>
          <w:szCs w:val="20"/>
        </w:rPr>
        <w:t>院定之。</w:t>
      </w:r>
    </w:p>
    <w:p w:rsidR="002E2BCF" w:rsidRDefault="002E2BCF">
      <w:pPr>
        <w:spacing w:line="240" w:lineRule="exact"/>
        <w:ind w:left="-568" w:right="-900" w:hanging="140"/>
        <w:jc w:val="both"/>
        <w:rPr>
          <w:rFonts w:ascii="標楷體" w:eastAsia="標楷體" w:hAnsi="標楷體"/>
          <w:sz w:val="20"/>
          <w:szCs w:val="20"/>
        </w:rPr>
      </w:pPr>
    </w:p>
    <w:p w:rsidR="002E2BCF" w:rsidRDefault="006F16E6">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18</w:t>
      </w:r>
      <w:r>
        <w:rPr>
          <w:rFonts w:ascii="標楷體" w:eastAsia="標楷體" w:hAnsi="標楷體"/>
          <w:sz w:val="20"/>
          <w:szCs w:val="20"/>
        </w:rPr>
        <w:t>條</w:t>
      </w:r>
    </w:p>
    <w:p w:rsidR="002E2BCF" w:rsidRDefault="006F16E6">
      <w:pPr>
        <w:pStyle w:val="HTML"/>
        <w:spacing w:line="240" w:lineRule="exact"/>
        <w:jc w:val="both"/>
        <w:rPr>
          <w:rFonts w:ascii="標楷體" w:eastAsia="標楷體" w:hAnsi="標楷體"/>
          <w:sz w:val="20"/>
          <w:szCs w:val="20"/>
        </w:rPr>
      </w:pPr>
      <w:r>
        <w:rPr>
          <w:rFonts w:ascii="標楷體" w:eastAsia="標楷體" w:hAnsi="標楷體"/>
          <w:sz w:val="20"/>
          <w:szCs w:val="20"/>
        </w:rPr>
        <w:t>違反第十四條第一項規定者，依下列規定處罰：</w:t>
      </w:r>
    </w:p>
    <w:p w:rsidR="002E2BCF" w:rsidRDefault="006F16E6">
      <w:pPr>
        <w:pStyle w:val="HTML"/>
        <w:spacing w:line="240" w:lineRule="exact"/>
        <w:jc w:val="both"/>
        <w:rPr>
          <w:rFonts w:ascii="標楷體" w:eastAsia="標楷體" w:hAnsi="標楷體"/>
          <w:sz w:val="20"/>
          <w:szCs w:val="20"/>
        </w:rPr>
      </w:pPr>
      <w:r>
        <w:rPr>
          <w:rFonts w:ascii="標楷體" w:eastAsia="標楷體" w:hAnsi="標楷體"/>
          <w:sz w:val="20"/>
          <w:szCs w:val="20"/>
        </w:rPr>
        <w:t>一、交易或補助金額未達新臺幣十萬元者，處新臺幣一萬元以上五萬元以下罰鍰。</w:t>
      </w:r>
    </w:p>
    <w:p w:rsidR="002E2BCF" w:rsidRDefault="006F16E6">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二、交易或補助金額新臺幣十萬元以上未達一百萬元者，處新臺幣六萬元以上五十萬元以下罰鍰。</w:t>
      </w:r>
    </w:p>
    <w:p w:rsidR="002E2BCF" w:rsidRDefault="006F16E6">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三、交易或補助金額新臺幣一百萬元以上未達一千萬元者，處新臺幣六十萬元以上五百萬元以下罰鍰。</w:t>
      </w:r>
    </w:p>
    <w:p w:rsidR="002E2BCF" w:rsidRDefault="006F16E6">
      <w:pPr>
        <w:pStyle w:val="HTML"/>
        <w:spacing w:line="240" w:lineRule="exact"/>
        <w:jc w:val="both"/>
        <w:rPr>
          <w:rFonts w:ascii="標楷體" w:eastAsia="標楷體" w:hAnsi="標楷體"/>
          <w:sz w:val="20"/>
          <w:szCs w:val="20"/>
        </w:rPr>
      </w:pPr>
      <w:r>
        <w:rPr>
          <w:rFonts w:ascii="標楷體" w:eastAsia="標楷體" w:hAnsi="標楷體"/>
          <w:sz w:val="20"/>
          <w:szCs w:val="20"/>
        </w:rPr>
        <w:t>四、交易或補助金額新臺幣一千萬元以上者，處新臺幣六百萬元以上該交易金額以下罰鍰。</w:t>
      </w:r>
    </w:p>
    <w:p w:rsidR="002E2BCF" w:rsidRDefault="006F16E6">
      <w:pPr>
        <w:pStyle w:val="HTML"/>
        <w:spacing w:line="240" w:lineRule="exact"/>
        <w:jc w:val="both"/>
        <w:rPr>
          <w:rFonts w:ascii="標楷體" w:eastAsia="標楷體" w:hAnsi="標楷體"/>
          <w:sz w:val="20"/>
          <w:szCs w:val="20"/>
        </w:rPr>
      </w:pPr>
      <w:r>
        <w:rPr>
          <w:rFonts w:ascii="標楷體" w:eastAsia="標楷體" w:hAnsi="標楷體"/>
          <w:sz w:val="20"/>
          <w:szCs w:val="20"/>
        </w:rPr>
        <w:t>前項交易金額依契約所明定或可得確定之價格定之。但結算後之金額高於該價格者，依結算金額。</w:t>
      </w:r>
    </w:p>
    <w:p w:rsidR="002E2BCF" w:rsidRDefault="006F16E6">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sectPr w:rsidR="002E2BCF">
      <w:pgSz w:w="11906" w:h="16838"/>
      <w:pgMar w:top="907" w:right="1797" w:bottom="907" w:left="1797"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6E6" w:rsidRDefault="006F16E6">
      <w:r>
        <w:separator/>
      </w:r>
    </w:p>
  </w:endnote>
  <w:endnote w:type="continuationSeparator" w:id="0">
    <w:p w:rsidR="006F16E6" w:rsidRDefault="006F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6E6" w:rsidRDefault="006F16E6">
      <w:r>
        <w:rPr>
          <w:color w:val="000000"/>
        </w:rPr>
        <w:separator/>
      </w:r>
    </w:p>
  </w:footnote>
  <w:footnote w:type="continuationSeparator" w:id="0">
    <w:p w:rsidR="006F16E6" w:rsidRDefault="006F1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E2BCF"/>
    <w:rsid w:val="002E2BCF"/>
    <w:rsid w:val="006F16E6"/>
    <w:rsid w:val="00991C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43C98-6440-4CB9-B85F-7D909CE7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陳潔湲</cp:lastModifiedBy>
  <cp:revision>2</cp:revision>
  <cp:lastPrinted>2018-11-28T03:11:00Z</cp:lastPrinted>
  <dcterms:created xsi:type="dcterms:W3CDTF">2024-09-05T01:42:00Z</dcterms:created>
  <dcterms:modified xsi:type="dcterms:W3CDTF">2024-09-05T01:42:00Z</dcterms:modified>
</cp:coreProperties>
</file>